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72 vom 9. März 1984</w:t>
      </w:r>
    </w:p>
    <w:p>
      <w:r>
        <w:t>Bundesgericht (BGE), 1984-03-09, DE</w:t>
      </w:r>
    </w:p>
    <w:p>
      <w:r>
        <w:rPr>
          <w:b/>
        </w:rPr>
        <w:t xml:space="preserve">Quelle: </w:t>
      </w:r>
      <w:r>
        <w:t>https://mcp.opencaselaw.ch/entscheid/bge_110 IA 72</w:t>
      </w:r>
    </w:p>
    <w:p>
      <w:r>
        <w:t>FR: BGE 110 IA 72 du 9 mars 1984</w:t>
      </w:r>
    </w:p>
    <w:p>
      <w:r>
        <w:t>IT: BGE 110 IA 72 del 9 marzo 1984</w:t>
      </w:r>
    </w:p>
    <w:p>
      <w:pPr>
        <w:pStyle w:val="Heading2"/>
      </w:pPr>
      <w:r>
        <w:t>Regeste</w:t>
      </w:r>
    </w:p>
    <w:p>
      <w:r>
        <w:t>Regeste Art. 88 OG; Legitimation zur staatsrechtlichen Beschwerde wegen Verletzung des Anspruches auf Akteneinsicht. 1. Die Legitimation zur staatsrechtlichen Beschwerde beurteilt sich unabhängig von der Tatsache, dass die Beschwerdeführer im kantonalen Rekursverfahren als Partei behandelt wurden (E. 1). 2. Der Anspruch auf rechtliches Gehör und auf Akteneinsicht kann mit staatsrechtlicher Beschwerde nur geltend gemacht werden, wenn der Beschwerdeführer in einem Verfahren rechtlich geschützte Interessen verfolgt oder - wenn es sich um lediglich tatsächliche Interessen handelt - soweit ihm kantonale Verfahrensvorschriften Rechte im Verfahren einräumen (E. 2).</w:t>
      </w:r>
    </w:p>
    <w:p>
      <w:pPr>
        <w:pStyle w:val="Heading2"/>
      </w:pPr>
      <w:r>
        <w:t>Erwägungen</w:t>
      </w:r>
    </w:p>
    <w:p>
      <w:r>
        <w:rPr>
          <w:b/>
        </w:rPr>
        <w:t>E. 1</w:t>
      </w:r>
    </w:p>
    <w:p>
      <w:r>
        <w:t>Nach Art. 88 OG steht das Recht zur Führung staatsrechtlicher Beschwerde den Bürgern bezüglich solcher Rechtsverletzungen zu, die sie durch allgemein verbindliche oder sie persönlich treffende Erlasse oder Verfügungen erlitten haben. Nach ständiger Rechtsprechung ermöglicht somit die staatsrechtliche Beschwerde dem Bürger lediglich die Geltendmachung seiner rechtlich geschützten Interessen. Zur Verfolgung bloss tatsächlicher Interessen wie auch zur Wahrung allgemeiner öffentlicher Interessen ist die staatsrechtliche Beschwerde nicht gegeben ( BGE 107 Ia 183 E. 1; BGE 105 Ia 272 /3 E. 2 mit Hinweisen). Die Tatsache, dass die Beschwerdeführer im kantonalen Rekursverfahren vom Regierungsrat als Partei behandelt wurden, vermag daran nichts zu ändern, denn die Legitimation im staatsrechtlichen Beschwerdeverfahren beurteilt sich ausschliesslich nach Art. 88 OG ( BGE 107 Ia 184 E. 2b; BGE 104 Ia 159 E. 2b, mit weiteren Nachweisen).</w:t>
      </w:r>
    </w:p>
    <w:p>
      <w:r>
        <w:rPr>
          <w:b/>
        </w:rPr>
        <w:t>E. 2</w:t>
      </w:r>
    </w:p>
    <w:p>
      <w:r>
        <w:t>Die Beschwerdeführer erheben die Rüge einer Verweigerung des rechtlichen Gehörs und gleichzeitig der Willkür, weil ihnen der Regierungsrat die verlangte Einsicht in die zu seinen Akten gehörenden Gutachten mit der Begründung verweigerte, es handle sich dabei nicht um Akten eines Verfahrens, in dem sie Partei seien oder eine der Partei ähnliche Stellung hätten, weshalb BGE 110 Ia 72 S. 75 ihnen ein Anspruch auf Akteneinsicht nach § 8 VRG und Art. 4 BV nicht zustehe. Sie sehen eine Verweigerung des rechtlichen Gehörs insbesondere darin, dass der Regierungsrat ihnen das umfassende Akteneinsichtsrecht nicht gewährt habe, das Parteien aus Art. 4 BV zustehe. Sie erheben die gleichen Rügen ferner, weil der Regierungsrat die Gutachten, in welche sie Einsicht verlangten, nicht als öffentliche Urkunden im Sinne von Art. 231 EG ZGB betrachtete und ihnen deshalb das Einsichtsrecht verweigerte, welches nach dieser Bestimmung Privatpersonen zusteht, sofern ein rechtliches Interesse an der Einsicht bescheinigt wird. Die Beschwerdeführer werfen dem Regierungsrat Willkür schliesslich bei der Handhabung seines Ermessens vor. Sie machen zur Begründung all dieser Rügen geltend, sie seien Parteien im "kantonalen Verfahren betreffend Feststellung, ob es sog. historische Rechtstitel gebe", ferner in dem durch ihr Gesuch vom 8. Dezember 1982 an die Bundesversammlung ausgelösten bundesrechtlichen Verfahren auf Widerruf der 1963 erteilten Gewährleistung für Art. 64 KV ZH, welches selbstverständlich Teil des genannten kantonalen Verfahrens sei. a) Nach ständiger Rechtsprechung verschafft das allgemeine Willkürverbot, das bei jeder staatlichen Verwaltungstätigkeit nach Art. 4 BV zu beachten ist, für sich allein den Betroffenen noch keine geschützte Rechtsstellung. Eine Legitimation zur Willkürbeschwerde besteht erst dann, wenn der angefochtene Entscheid den Beschwerdeführer in seiner vorhandenen Rechtsstellung berührt und in rechtlich geschützte Interessen eingreift. Die Geltendmachung des Willkürverbots setzt eine Berechtigung in der Sache voraus. Aus Art. 4 BV folgt kein selbständiger Anspruch auf willkürfreies staatliches Handeln ( BGE 107 Ia 184 E. 2a; 105 Ia 275 mit Hinweis). Auch der Anspruch auf rechtliches Gehör gilt nicht um seiner selbst willen, sondern ist mit der Berechtigung in der Sache eng verbunden. Von Verfassungs wegen besteht der Gehörsanspruch erst dann, wenn die Gefahr besteht, dass der Einzelne durch den Erlass einer Verfügung in seinen rechtlich geschützten Interessen verletzt wird. Er kann daher nur geltend gemacht werden, wenn der Beschwerdeführer im Verfahren rechtlich geschützte Interessen verfolgt oder - wenn es sich um lediglich tatsächliche Interessen handelt - soweit ihm kantonale Verfahrensvorschriften Rechte im Verfahren einräumen ( BGE 107 Ia 185 /6 E. 3c, mit Hinweisen). b) Beim "kantonalen Verfahren betreffend Feststellung, ob es BGE 110 Ia 72 S. 76 die sogenannten "historischen Rechtstitel" gebe und wie die Festschreibung solcher nichtexistenter Rechtstitel in der Kantonsverfassung rückgängig zu machen sei", handelt es sich nicht um ein Verwaltungs- oder Rechtsprechungsverfahren, sondern um einen politischen Vorgang, in dem das Verhältnis zwischen Staat und evangelisch-reformierter Landeskirche sowie die sog. "historischen Rechtstitel" dieser Kirche geklärt werden sollen. Der Regierungsrat liess das sog. Gutachten Nef für die Vorbereitung der gesetzgeberischen Initiativen erstatten, die er auf die Motion des Kantonsrats hin oder die der Kantonsrat selber ergreifen könnte. Die Beschwerdeführer als Freidenker haben wohl ein persönliches und ideelles Interesse am Ausgang dieses politischen Vorganges. Partei in einem Verfahren sind sie jedoch im politischen Meinungsbildungsprozess nicht. Die Beschwerdeführer behaupten nicht, dass § 8 VRG ZH, Art. 231 EG ZGB oder andere kantonale Vorschriften ein Recht auf Einsicht in Gutachten im Zusammenhang mit einem aktuellen politischen Gegenstand gewähren würden. Das Interesse als Stimmbürger am Ausgang einer politischen Auseinandersetzung, wie z.B. eines Gesetzgebungsvorhabens oder der Vorbereitung einer Gesetzesvorlage, stellt nicht ein rechtlich geschütztes Interesse gemäss Art. 88 OG dar. Diese Bestimmung soll vielmehr gerade ausschliessen, dass von der staatsrechtlichen Beschwerde zur Wahrung allgemeiner öffentlicher Interessen Gebrauch gemacht wird ( BGE 107 Ia 183 /4 E. 1; BGE 106 Ia 326 E. b; 331 E. 2; 334 E. 1, mit Hinweisen). Anderseits berufen sich die Beschwerdeführer auf das durch ihr Gesuch an die Bundesversammlung eingeleitete Verfahren. Soweit sie dieses nicht nur als Teil der politischen Auseinandersetzung anführen wollen, handelt es sich von vornherein nicht um ein Verfahren vor den Behörden des Kantons Zürich. Die Verfahrensvorschriften des Kantons sind für dieses Verfahren ohne Bedeutung, und die Beschwerdeführer können aus kantonalen Verfahrensvorschriften für sich von vornherein kein Recht auf Akteneinsicht ableiten, da die zuständigen Bundesbehörden den Zürcher Behörden kein Editionsgesuch zugeleitet haben. Die Beschwerdeführer sind durch den angefochtenen Entscheid somit nicht in Interessen betroffen, in denen sie durch Vorschriften des kantonalen Verfahrensrechts geschützt würden. c) Sie könnten deshalb zur Beschwerde nur legitimiert sein, wenn sich aus Art. 4 BV ein selbständiger Anspruch auf Akteneinsicht ableiten liesse. Einen solchen Rechtsanspruch um seiner BGE 110 Ia 72 S. 77 selbst willen kennt die Bundesgerichtspraxis aber allein aufgrund von Art. 4 BV nicht. Vielmehr anerkennt die Bundesgerichtspraxis den Anspruch auf Akteneinsicht lediglich als Teil des Anspruchs auf rechtliches Gehör und nur im Zusammenhang mit einem Verfahren, an dem der Einsicht Verlangende entweder formell als Partei beteiligt ist ( BGE 108 Ia 7 ; BGE 104 Ia 71 ; BGE 103 Ia 492 /3; 101 Ia 311 ; BGE 100 Ia 102 /3 E. 5a und b; vgl. auch das Urteil vom 6. Dezember 1982 in ZBl 84/1983 S. 191 ff.) oder in der Sache selbst ein rechtlich geschütztes Interesse hat (vgl. die verschiedenen Entscheidungen bei WILLY HUBER, Das Recht des Bürgers auf Akteneinsicht im Verwaltungsverfahren, Diss. St. Gallen 1980, S. 53, der daraus allerdings unzutreffend schliesst, dass auch ein schutzwürdiges Interesse allgemein den Anspruch begründen könnte). In einzelnen Fällen hat das Bundesgericht zwar ein Akteneinsichtsrecht unter ausserordentlichen Umständen auch schon ausserhalb eines hängigen Verfahrens beispielsweise aus dem Grundsatz von Treu und Glauben bejaht, so zuletzt in dem (bei COTTIER, Der Anspruch auf rechtliches Gehör, in recht 1984, 8 Anm. 67 erwähnten) Urteil vom 26. Oktober 1982 i.S. Jobin und Kons. c. Gemeinde Le Locle. Daraus darf indessen nicht geschlossen werden, die Legitimation zur staatsrechtlichen Beschwerde lasse sich allein aus dem in Art. 4 BV enthaltenen Anspruch auf Akteneinsicht herleiten (im gleichen Sinne schon Urteil vom 18. November 1983 i.S. Schaffroth c. Regierungsrat Zürich). Auf die staatsrechtliche Beschwerde gegen die Verweigerung der Akteneinsicht wegen Willkür wie auch wegen Verweigerung des rechtlichen Gehörs kann daher mangels Legitimation der Beschwerdeführer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